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B" w:rsidRPr="00371466" w:rsidRDefault="005E0C4B" w:rsidP="00C64A37">
      <w:pPr>
        <w:jc w:val="both"/>
        <w:rPr>
          <w:sz w:val="22"/>
          <w:szCs w:val="22"/>
          <w:lang w:val="uk-UA" w:eastAsia="en-US"/>
        </w:rPr>
      </w:pPr>
      <w:r w:rsidRPr="00371466">
        <w:rPr>
          <w:sz w:val="22"/>
          <w:szCs w:val="22"/>
          <w:lang w:val="uk-UA" w:eastAsia="en-US"/>
        </w:rPr>
        <w:t>Шановний Акціонер!</w:t>
      </w:r>
    </w:p>
    <w:p w:rsidR="005E0C4B" w:rsidRPr="00371466" w:rsidRDefault="005E0C4B" w:rsidP="00C64A37">
      <w:pPr>
        <w:jc w:val="both"/>
        <w:rPr>
          <w:sz w:val="22"/>
          <w:szCs w:val="22"/>
          <w:lang w:val="uk-UA" w:eastAsia="en-US"/>
        </w:rPr>
      </w:pPr>
    </w:p>
    <w:p w:rsidR="005E0C4B" w:rsidRPr="00371466" w:rsidRDefault="005E0C4B" w:rsidP="00C64A37">
      <w:pPr>
        <w:jc w:val="both"/>
        <w:rPr>
          <w:sz w:val="22"/>
          <w:szCs w:val="22"/>
          <w:lang w:val="uk-UA" w:eastAsia="en-US"/>
        </w:rPr>
      </w:pPr>
      <w:r w:rsidRPr="00371466">
        <w:rPr>
          <w:b/>
          <w:sz w:val="22"/>
          <w:szCs w:val="22"/>
          <w:lang w:val="uk-UA" w:eastAsia="en-US"/>
        </w:rPr>
        <w:t xml:space="preserve">ПРИВАТНЕ </w:t>
      </w:r>
      <w:r w:rsidRPr="00371466">
        <w:rPr>
          <w:b/>
          <w:bCs/>
          <w:sz w:val="22"/>
          <w:szCs w:val="22"/>
          <w:lang w:val="uk-UA" w:eastAsia="en-US"/>
        </w:rPr>
        <w:t>АКЦІОНЕРНЕ ТОВАРИСТВО «КАРАКУБСЬКЕ ХЛІБОПРИЙМАЛЬНЕ ПІДПРИЄМСТВО»</w:t>
      </w:r>
      <w:r w:rsidRPr="00371466">
        <w:rPr>
          <w:sz w:val="22"/>
          <w:szCs w:val="22"/>
          <w:lang w:val="uk-UA" w:eastAsia="en-US"/>
        </w:rPr>
        <w:t>, код ЄДРПОУ 00957519, місцезнаходження: Україна, 87543, Донецька обл., м. Маріуполь, вул. Таганрозька, буд. 76, офіс 111 (далі – «</w:t>
      </w:r>
      <w:r w:rsidRPr="00371466">
        <w:rPr>
          <w:b/>
          <w:sz w:val="22"/>
          <w:szCs w:val="22"/>
          <w:lang w:val="uk-UA" w:eastAsia="en-US"/>
        </w:rPr>
        <w:t>Товариство</w:t>
      </w:r>
      <w:r w:rsidRPr="00371466">
        <w:rPr>
          <w:sz w:val="22"/>
          <w:szCs w:val="22"/>
          <w:lang w:val="uk-UA" w:eastAsia="en-US"/>
        </w:rPr>
        <w:t xml:space="preserve">»), повідомляє про скликання річних загальних зборів акціонерів Товариства, які відбудуться </w:t>
      </w:r>
      <w:r w:rsidRPr="00371466">
        <w:rPr>
          <w:b/>
          <w:sz w:val="22"/>
          <w:szCs w:val="22"/>
          <w:lang w:val="uk-UA" w:eastAsia="en-US"/>
        </w:rPr>
        <w:t xml:space="preserve">15 квітня 2020 року </w:t>
      </w:r>
      <w:r w:rsidRPr="00371466">
        <w:rPr>
          <w:sz w:val="22"/>
          <w:szCs w:val="22"/>
          <w:lang w:val="uk-UA" w:eastAsia="en-US"/>
        </w:rPr>
        <w:t>об 11:00 годині за адресою: Україна, 87543, Донецька обл., м. Маріуполь, вул. Таганрозька, буд. 76, офіс 111, з наступним порядком денним:</w:t>
      </w:r>
    </w:p>
    <w:p w:rsidR="005E0C4B" w:rsidRPr="00371466" w:rsidRDefault="005E0C4B" w:rsidP="00C64A37">
      <w:pPr>
        <w:jc w:val="both"/>
        <w:rPr>
          <w:sz w:val="22"/>
          <w:szCs w:val="22"/>
          <w:lang w:val="uk-UA" w:eastAsia="uk-UA"/>
        </w:rPr>
      </w:pPr>
    </w:p>
    <w:p w:rsidR="005E0C4B" w:rsidRPr="00371466" w:rsidRDefault="005E0C4B" w:rsidP="00C64A37">
      <w:pPr>
        <w:ind w:left="709" w:hanging="709"/>
        <w:jc w:val="both"/>
        <w:rPr>
          <w:sz w:val="22"/>
          <w:szCs w:val="22"/>
          <w:lang w:val="uk-UA"/>
        </w:rPr>
      </w:pPr>
      <w:r w:rsidRPr="00371466">
        <w:rPr>
          <w:sz w:val="22"/>
          <w:szCs w:val="22"/>
          <w:lang w:val="uk-UA"/>
        </w:rPr>
        <w:t>1.</w:t>
      </w:r>
      <w:r w:rsidRPr="00371466">
        <w:rPr>
          <w:sz w:val="22"/>
          <w:szCs w:val="22"/>
          <w:lang w:val="uk-UA"/>
        </w:rPr>
        <w:tab/>
        <w:t>Обрання Голови та Секретаря Загальних зборів акціонерів.</w:t>
      </w:r>
    </w:p>
    <w:p w:rsidR="005E0C4B" w:rsidRPr="00371466" w:rsidRDefault="005E0C4B" w:rsidP="00C64A37">
      <w:pPr>
        <w:ind w:left="709" w:hanging="709"/>
        <w:jc w:val="both"/>
        <w:rPr>
          <w:sz w:val="22"/>
          <w:szCs w:val="22"/>
          <w:lang w:val="uk-UA"/>
        </w:rPr>
      </w:pPr>
      <w:r w:rsidRPr="00371466">
        <w:rPr>
          <w:sz w:val="22"/>
          <w:szCs w:val="22"/>
          <w:lang w:val="uk-UA"/>
        </w:rPr>
        <w:t>2.</w:t>
      </w:r>
      <w:r w:rsidRPr="00371466">
        <w:rPr>
          <w:sz w:val="22"/>
          <w:szCs w:val="22"/>
          <w:lang w:val="uk-UA"/>
        </w:rPr>
        <w:tab/>
        <w:t xml:space="preserve">Обрання членів лічильної комісії для підрахунку голосів на Загальних зборах акціонерів. </w:t>
      </w:r>
    </w:p>
    <w:p w:rsidR="005E0C4B" w:rsidRPr="00371466" w:rsidRDefault="005E0C4B" w:rsidP="00C64A37">
      <w:pPr>
        <w:ind w:left="709" w:hanging="709"/>
        <w:jc w:val="both"/>
        <w:rPr>
          <w:sz w:val="22"/>
          <w:szCs w:val="22"/>
          <w:lang w:val="uk-UA"/>
        </w:rPr>
      </w:pPr>
      <w:r w:rsidRPr="00371466">
        <w:rPr>
          <w:sz w:val="22"/>
          <w:szCs w:val="22"/>
          <w:lang w:val="uk-UA"/>
        </w:rPr>
        <w:t>3.</w:t>
      </w:r>
      <w:r w:rsidRPr="00371466">
        <w:rPr>
          <w:sz w:val="22"/>
          <w:szCs w:val="22"/>
          <w:lang w:val="uk-UA"/>
        </w:rPr>
        <w:tab/>
        <w:t xml:space="preserve">Звіт Правління Товариства про фінансово-господарську діяльність Товариства за 2019 рік і прийняття рішення за наслідками розгляду звіту. </w:t>
      </w:r>
    </w:p>
    <w:p w:rsidR="005E0C4B" w:rsidRPr="00371466" w:rsidRDefault="005E0C4B" w:rsidP="00C64A37">
      <w:pPr>
        <w:ind w:left="709" w:hanging="709"/>
        <w:jc w:val="both"/>
        <w:rPr>
          <w:sz w:val="22"/>
          <w:szCs w:val="22"/>
          <w:lang w:val="uk-UA"/>
        </w:rPr>
      </w:pPr>
      <w:r w:rsidRPr="00371466">
        <w:rPr>
          <w:sz w:val="22"/>
          <w:szCs w:val="22"/>
          <w:lang w:val="uk-UA"/>
        </w:rPr>
        <w:t>4.</w:t>
      </w:r>
      <w:r w:rsidRPr="00371466">
        <w:rPr>
          <w:sz w:val="22"/>
          <w:szCs w:val="22"/>
          <w:lang w:val="uk-UA"/>
        </w:rPr>
        <w:tab/>
        <w:t>Звіт Наглядової ради Товариства про проведену роботу у 2019 році і прийняття рішення за наслідками розгляду звіту.</w:t>
      </w:r>
    </w:p>
    <w:p w:rsidR="005E0C4B" w:rsidRPr="00371466" w:rsidRDefault="005E0C4B" w:rsidP="00C64A37">
      <w:pPr>
        <w:tabs>
          <w:tab w:val="left" w:pos="8820"/>
        </w:tabs>
        <w:ind w:left="709" w:hanging="709"/>
        <w:jc w:val="both"/>
        <w:rPr>
          <w:sz w:val="22"/>
          <w:szCs w:val="22"/>
          <w:lang w:val="uk-UA"/>
        </w:rPr>
      </w:pPr>
      <w:r w:rsidRPr="00371466">
        <w:rPr>
          <w:sz w:val="22"/>
          <w:szCs w:val="22"/>
          <w:lang w:val="uk-UA"/>
        </w:rPr>
        <w:t>5.</w:t>
      </w:r>
      <w:r w:rsidRPr="00371466">
        <w:rPr>
          <w:sz w:val="22"/>
          <w:szCs w:val="22"/>
          <w:lang w:val="uk-UA"/>
        </w:rPr>
        <w:tab/>
        <w:t>Звіт Ревізора Товариства щодо фінансово-господарської діяльності Товариства у 2019 році і прийняття рішення за наслідками розгляду звіту. Висновок Ревізора Товариства щодо річного звіту і балансу Товариства за 2019 рік і його затвердження.</w:t>
      </w:r>
    </w:p>
    <w:p w:rsidR="005E0C4B" w:rsidRPr="00371466" w:rsidRDefault="005E0C4B" w:rsidP="00C64A37">
      <w:pPr>
        <w:ind w:left="709" w:hanging="709"/>
        <w:rPr>
          <w:sz w:val="22"/>
          <w:szCs w:val="22"/>
          <w:lang w:val="uk-UA"/>
        </w:rPr>
      </w:pPr>
      <w:r w:rsidRPr="00371466">
        <w:rPr>
          <w:sz w:val="22"/>
          <w:szCs w:val="22"/>
          <w:lang w:val="uk-UA"/>
        </w:rPr>
        <w:t>6.</w:t>
      </w:r>
      <w:r w:rsidRPr="00371466">
        <w:rPr>
          <w:sz w:val="22"/>
          <w:szCs w:val="22"/>
          <w:lang w:val="uk-UA"/>
        </w:rPr>
        <w:tab/>
        <w:t>Затвердження річного звіту Товариства.</w:t>
      </w:r>
    </w:p>
    <w:p w:rsidR="005E0C4B" w:rsidRPr="00371466" w:rsidRDefault="005E0C4B" w:rsidP="00C64A37">
      <w:pPr>
        <w:ind w:left="709" w:hanging="709"/>
        <w:rPr>
          <w:sz w:val="22"/>
          <w:szCs w:val="22"/>
          <w:lang w:val="uk-UA"/>
        </w:rPr>
      </w:pPr>
      <w:r w:rsidRPr="00371466">
        <w:rPr>
          <w:sz w:val="22"/>
          <w:szCs w:val="22"/>
          <w:lang w:val="uk-UA"/>
        </w:rPr>
        <w:t>7.</w:t>
      </w:r>
      <w:r w:rsidRPr="00371466">
        <w:rPr>
          <w:sz w:val="22"/>
          <w:szCs w:val="22"/>
          <w:lang w:val="uk-UA"/>
        </w:rPr>
        <w:tab/>
        <w:t>Затвердження розподілу прибутків та збитків Товариства за 201</w:t>
      </w:r>
      <w:r w:rsidRPr="00371466">
        <w:rPr>
          <w:sz w:val="22"/>
          <w:szCs w:val="22"/>
          <w:lang w:val="ru-RU"/>
        </w:rPr>
        <w:t>9</w:t>
      </w:r>
      <w:r w:rsidRPr="00371466">
        <w:rPr>
          <w:sz w:val="22"/>
          <w:szCs w:val="22"/>
          <w:lang w:val="uk-UA"/>
        </w:rPr>
        <w:t xml:space="preserve"> рік. </w:t>
      </w:r>
    </w:p>
    <w:p w:rsidR="005E0C4B" w:rsidRPr="00371466" w:rsidRDefault="005E0C4B" w:rsidP="00C64A37">
      <w:pPr>
        <w:ind w:left="709" w:hanging="709"/>
        <w:rPr>
          <w:sz w:val="22"/>
          <w:szCs w:val="22"/>
          <w:lang w:val="ru-RU"/>
        </w:rPr>
      </w:pPr>
      <w:r w:rsidRPr="00371466">
        <w:rPr>
          <w:sz w:val="22"/>
          <w:szCs w:val="22"/>
          <w:lang w:val="ru-RU"/>
        </w:rPr>
        <w:t>8</w:t>
      </w:r>
      <w:r w:rsidRPr="00371466">
        <w:rPr>
          <w:sz w:val="22"/>
          <w:szCs w:val="22"/>
          <w:lang w:val="uk-UA"/>
        </w:rPr>
        <w:t>.</w:t>
      </w:r>
      <w:r w:rsidRPr="00371466">
        <w:rPr>
          <w:sz w:val="22"/>
          <w:szCs w:val="22"/>
          <w:lang w:val="uk-UA"/>
        </w:rPr>
        <w:tab/>
        <w:t>Прийняття рішення про вчинення значних правочинів.</w:t>
      </w:r>
    </w:p>
    <w:p w:rsidR="005E0C4B" w:rsidRPr="00371466" w:rsidRDefault="005E0C4B" w:rsidP="00C64A37">
      <w:pPr>
        <w:ind w:left="709" w:hanging="709"/>
        <w:rPr>
          <w:sz w:val="22"/>
          <w:szCs w:val="22"/>
          <w:lang w:val="ru-RU"/>
        </w:rPr>
      </w:pPr>
    </w:p>
    <w:p w:rsidR="005E0C4B" w:rsidRPr="00371466" w:rsidRDefault="005E0C4B" w:rsidP="00C64A37">
      <w:pPr>
        <w:jc w:val="center"/>
        <w:rPr>
          <w:b/>
          <w:sz w:val="22"/>
          <w:szCs w:val="22"/>
          <w:lang w:val="uk-UA"/>
        </w:rPr>
      </w:pPr>
      <w:r w:rsidRPr="00371466">
        <w:rPr>
          <w:b/>
          <w:sz w:val="22"/>
          <w:szCs w:val="22"/>
          <w:lang w:val="uk-UA"/>
        </w:rPr>
        <w:t xml:space="preserve">Основні показники фінансово-господарської діяльності </w:t>
      </w:r>
      <w:r w:rsidRPr="00371466">
        <w:rPr>
          <w:b/>
          <w:color w:val="FF0000"/>
          <w:sz w:val="22"/>
          <w:szCs w:val="22"/>
          <w:lang w:val="uk-UA"/>
        </w:rPr>
        <w:t xml:space="preserve"> </w:t>
      </w:r>
      <w:r w:rsidRPr="00371466">
        <w:rPr>
          <w:b/>
          <w:sz w:val="22"/>
          <w:szCs w:val="22"/>
          <w:lang w:val="uk-UA"/>
        </w:rPr>
        <w:t>(тис. грн)</w:t>
      </w:r>
    </w:p>
    <w:p w:rsidR="005E0C4B" w:rsidRPr="00371466" w:rsidRDefault="005E0C4B" w:rsidP="00C64A37">
      <w:pPr>
        <w:jc w:val="center"/>
        <w:rPr>
          <w:b/>
          <w:sz w:val="22"/>
          <w:szCs w:val="22"/>
          <w:lang w:val="uk-UA"/>
        </w:rPr>
      </w:pPr>
    </w:p>
    <w:tbl>
      <w:tblPr>
        <w:tblW w:w="496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75"/>
        <w:gridCol w:w="2185"/>
        <w:gridCol w:w="2053"/>
      </w:tblGrid>
      <w:tr w:rsidR="005E0C4B" w:rsidRPr="00371466" w:rsidTr="0015596F">
        <w:trPr>
          <w:trHeight w:val="270"/>
        </w:trPr>
        <w:tc>
          <w:tcPr>
            <w:tcW w:w="264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bookmarkStart w:id="0" w:name="_Hlk32915269"/>
            <w:r w:rsidRPr="00242DAF">
              <w:rPr>
                <w:b/>
                <w:bCs/>
                <w:sz w:val="22"/>
                <w:szCs w:val="22"/>
                <w:lang w:val="uk-UA" w:eastAsia="en-US"/>
              </w:rPr>
              <w:t>Найменування показника</w:t>
            </w:r>
          </w:p>
        </w:tc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42DAF">
              <w:rPr>
                <w:b/>
                <w:bCs/>
                <w:sz w:val="22"/>
                <w:szCs w:val="22"/>
                <w:lang w:val="uk-UA" w:eastAsia="en-US"/>
              </w:rPr>
              <w:t>Період</w:t>
            </w:r>
          </w:p>
        </w:tc>
      </w:tr>
      <w:tr w:rsidR="005E0C4B" w:rsidRPr="00371466" w:rsidTr="0015596F">
        <w:trPr>
          <w:trHeight w:val="772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C4B" w:rsidRPr="00242DAF" w:rsidRDefault="005E0C4B" w:rsidP="0015596F">
            <w:pPr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42DAF">
              <w:rPr>
                <w:b/>
                <w:bCs/>
                <w:sz w:val="22"/>
                <w:szCs w:val="22"/>
                <w:lang w:val="uk-UA" w:eastAsia="en-US"/>
              </w:rPr>
              <w:t>Звітний</w:t>
            </w:r>
          </w:p>
          <w:p w:rsidR="005E0C4B" w:rsidRPr="00242DAF" w:rsidRDefault="005E0C4B" w:rsidP="0015596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42DAF">
              <w:rPr>
                <w:b/>
                <w:bCs/>
                <w:sz w:val="22"/>
                <w:szCs w:val="22"/>
                <w:lang w:val="uk-UA" w:eastAsia="en-US"/>
              </w:rPr>
              <w:t>2019 р.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42DAF">
              <w:rPr>
                <w:b/>
                <w:bCs/>
                <w:sz w:val="22"/>
                <w:szCs w:val="22"/>
                <w:lang w:val="uk-UA" w:eastAsia="en-US"/>
              </w:rPr>
              <w:t>Попередній</w:t>
            </w:r>
          </w:p>
          <w:p w:rsidR="005E0C4B" w:rsidRPr="00242DAF" w:rsidRDefault="005E0C4B" w:rsidP="0015596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42DAF">
              <w:rPr>
                <w:b/>
                <w:bCs/>
                <w:sz w:val="22"/>
                <w:szCs w:val="22"/>
                <w:lang w:val="uk-UA" w:eastAsia="en-US"/>
              </w:rPr>
              <w:t>2018 р.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Усього активів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4558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4553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 xml:space="preserve">Основні засоби </w:t>
            </w:r>
            <w:r w:rsidRPr="00242DAF"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(за залишковою вартістю)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4534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4534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Запаси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0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0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Сумарна дебіторська заборгованість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17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17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Гроші та їх еквіваленти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7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2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 xml:space="preserve">Нерозподілений прибуток </w:t>
            </w:r>
            <w:r w:rsidRPr="00242DAF"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(непокритий збиток)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-1926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-1825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Власний капітал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-304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242DAF">
              <w:rPr>
                <w:color w:val="000000"/>
                <w:sz w:val="22"/>
                <w:szCs w:val="22"/>
                <w:lang w:val="uk-UA" w:eastAsia="en-US"/>
              </w:rPr>
              <w:t>-203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Зареєстрований (пайовий/статутний) капітал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1213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1213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Довгострокові зобов'язання</w:t>
            </w:r>
            <w:r w:rsidRPr="00242DAF"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 і забезпечення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0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0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Поточні зобов’язання</w:t>
            </w:r>
            <w:r w:rsidRPr="00242DAF"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 і забезпечення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4862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223</w:t>
            </w:r>
          </w:p>
        </w:tc>
      </w:tr>
      <w:tr w:rsidR="005E0C4B" w:rsidRPr="00371466" w:rsidTr="0015596F">
        <w:trPr>
          <w:trHeight w:val="113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Чистий фінансовий результат: прибуток (збиток)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-101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-108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Середньорічна кількість акцій (шт.)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4853876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4853876</w:t>
            </w:r>
          </w:p>
        </w:tc>
      </w:tr>
      <w:tr w:rsidR="005E0C4B" w:rsidRPr="00371466" w:rsidTr="0015596F">
        <w:trPr>
          <w:trHeight w:val="245"/>
        </w:trPr>
        <w:tc>
          <w:tcPr>
            <w:tcW w:w="26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Чистий прибуток (збиток) на одну просту акцію (грн)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lang w:val="uk-UA"/>
              </w:rPr>
              <w:t>-0,02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4B" w:rsidRPr="00242DAF" w:rsidRDefault="005E0C4B" w:rsidP="001559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 w:eastAsia="en-US"/>
              </w:rPr>
            </w:pPr>
            <w:r w:rsidRPr="00242DAF">
              <w:rPr>
                <w:sz w:val="22"/>
                <w:szCs w:val="22"/>
                <w:lang w:val="uk-UA" w:eastAsia="en-US"/>
              </w:rPr>
              <w:t>-0,02</w:t>
            </w:r>
          </w:p>
        </w:tc>
      </w:tr>
      <w:bookmarkEnd w:id="0"/>
    </w:tbl>
    <w:p w:rsidR="005E0C4B" w:rsidRPr="00371466" w:rsidRDefault="005E0C4B" w:rsidP="00C64A37">
      <w:pPr>
        <w:jc w:val="both"/>
        <w:rPr>
          <w:sz w:val="22"/>
          <w:szCs w:val="22"/>
          <w:lang w:val="en-US" w:eastAsia="uk-UA"/>
        </w:rPr>
      </w:pPr>
    </w:p>
    <w:p w:rsidR="005E0C4B" w:rsidRPr="00371466" w:rsidRDefault="005E0C4B" w:rsidP="00C64A37">
      <w:pPr>
        <w:jc w:val="both"/>
        <w:rPr>
          <w:sz w:val="22"/>
          <w:szCs w:val="22"/>
          <w:lang w:val="uk-UA" w:eastAsia="uk-UA"/>
        </w:rPr>
      </w:pPr>
      <w:r w:rsidRPr="00371466">
        <w:rPr>
          <w:sz w:val="22"/>
          <w:szCs w:val="22"/>
          <w:lang w:val="uk-UA" w:eastAsia="uk-UA"/>
        </w:rPr>
        <w:t xml:space="preserve">Реєстрація акціонерів для участі в зборах проводиться згідно переліку акціонерів Товариства, складеного станом </w:t>
      </w:r>
      <w:r w:rsidRPr="00371466">
        <w:rPr>
          <w:b/>
          <w:sz w:val="22"/>
          <w:szCs w:val="22"/>
          <w:lang w:val="uk-UA" w:eastAsia="uk-UA"/>
        </w:rPr>
        <w:t>на 24-00 годину 09 квітня 2020 року</w:t>
      </w:r>
      <w:r w:rsidRPr="00371466">
        <w:rPr>
          <w:sz w:val="22"/>
          <w:szCs w:val="22"/>
          <w:lang w:val="uk-UA" w:eastAsia="uk-UA"/>
        </w:rPr>
        <w:t xml:space="preserve"> (дату складання переліку акціонерів, які мають право на участь у загальних зборах акціонерів, затверджену Наглядовою радою Товариства). Реєстрація акціонерів для участі в зборах буде проводитися в місці проведення зборів акціонерів (за адресою: Україна, 87543, Донецька обл., м. Маріуполь, вул. Таганрозька, буд. 76, офіс 111) </w:t>
      </w:r>
      <w:r w:rsidRPr="00371466">
        <w:rPr>
          <w:b/>
          <w:sz w:val="22"/>
          <w:szCs w:val="22"/>
          <w:lang w:val="ru-RU" w:eastAsia="uk-UA"/>
        </w:rPr>
        <w:t>15</w:t>
      </w:r>
      <w:r w:rsidRPr="00371466">
        <w:rPr>
          <w:b/>
          <w:sz w:val="22"/>
          <w:szCs w:val="22"/>
          <w:lang w:val="uk-UA" w:eastAsia="uk-UA"/>
        </w:rPr>
        <w:t xml:space="preserve"> квітня 2020 року</w:t>
      </w:r>
      <w:r w:rsidRPr="00371466">
        <w:rPr>
          <w:sz w:val="22"/>
          <w:szCs w:val="22"/>
          <w:lang w:val="uk-UA" w:eastAsia="uk-UA"/>
        </w:rPr>
        <w:t xml:space="preserve"> з 09:00 до 10:30 за місцевим часом. Акціонерам потрібно мати при собі документ, що засвідчує особу, а представникам акціонерів – документи, які підтверджують їх повноваження згідно з діючим законодавством України.</w:t>
      </w:r>
    </w:p>
    <w:p w:rsidR="005E0C4B" w:rsidRPr="00371466" w:rsidRDefault="005E0C4B" w:rsidP="00C64A37">
      <w:pPr>
        <w:jc w:val="both"/>
        <w:rPr>
          <w:sz w:val="22"/>
          <w:szCs w:val="22"/>
          <w:lang w:val="uk-UA" w:eastAsia="uk-UA"/>
        </w:rPr>
      </w:pPr>
    </w:p>
    <w:p w:rsidR="005E0C4B" w:rsidRPr="00371466" w:rsidRDefault="005E0C4B" w:rsidP="00C64A37">
      <w:pPr>
        <w:jc w:val="both"/>
        <w:rPr>
          <w:color w:val="000000"/>
          <w:sz w:val="22"/>
          <w:szCs w:val="22"/>
          <w:lang w:val="uk-UA"/>
        </w:rPr>
      </w:pPr>
      <w:r w:rsidRPr="00371466">
        <w:rPr>
          <w:sz w:val="22"/>
          <w:szCs w:val="22"/>
          <w:lang w:val="ru-RU" w:eastAsia="uk-UA"/>
        </w:rPr>
        <w:t>Пов</w:t>
      </w:r>
      <w:r w:rsidRPr="00371466">
        <w:rPr>
          <w:sz w:val="22"/>
          <w:szCs w:val="22"/>
          <w:lang w:val="uk-UA" w:eastAsia="uk-UA"/>
        </w:rPr>
        <w:t xml:space="preserve">ідомляємо Вас, що відповідно до статті 38 Закону України «Про акціонерні товариства», Ви маєте право </w:t>
      </w:r>
      <w:r w:rsidRPr="00371466">
        <w:rPr>
          <w:color w:val="000000"/>
          <w:sz w:val="22"/>
          <w:szCs w:val="22"/>
          <w:lang w:val="ru-RU"/>
        </w:rPr>
        <w:t>внести пропозиції щодо питань, включених до проекту порядку денного.</w:t>
      </w:r>
      <w:r w:rsidRPr="00371466">
        <w:rPr>
          <w:color w:val="000000"/>
          <w:sz w:val="22"/>
          <w:szCs w:val="22"/>
          <w:lang w:val="uk-UA"/>
        </w:rPr>
        <w:t xml:space="preserve"> Пропозиції вносяться не пізніше ніж за 20 днів до дати проведення загальних зборів</w:t>
      </w:r>
      <w:r w:rsidRPr="00371466">
        <w:rPr>
          <w:color w:val="000000"/>
          <w:sz w:val="22"/>
          <w:szCs w:val="22"/>
          <w:lang w:val="ru-RU"/>
        </w:rPr>
        <w:t>. Пропозиції щодо включення нових питань до проекту порядку денного повинні містити відповідні проекти рішень з цих питань.</w:t>
      </w:r>
      <w:r w:rsidRPr="00371466">
        <w:rPr>
          <w:color w:val="000000"/>
          <w:sz w:val="22"/>
          <w:szCs w:val="22"/>
          <w:lang w:val="uk-UA"/>
        </w:rPr>
        <w:t xml:space="preserve"> Пропозиція до проекту порядку денного загальних зборів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рішення.</w:t>
      </w:r>
    </w:p>
    <w:p w:rsidR="005E0C4B" w:rsidRPr="00371466" w:rsidRDefault="005E0C4B" w:rsidP="00C64A37">
      <w:pPr>
        <w:jc w:val="both"/>
        <w:rPr>
          <w:sz w:val="22"/>
          <w:szCs w:val="22"/>
          <w:lang w:val="uk-UA" w:eastAsia="uk-UA"/>
        </w:rPr>
      </w:pPr>
    </w:p>
    <w:p w:rsidR="005E0C4B" w:rsidRPr="00371466" w:rsidRDefault="005E0C4B" w:rsidP="00C64A37">
      <w:pPr>
        <w:jc w:val="both"/>
        <w:rPr>
          <w:sz w:val="22"/>
          <w:szCs w:val="22"/>
          <w:lang w:val="uk-UA" w:eastAsia="en-US"/>
        </w:rPr>
      </w:pPr>
      <w:r w:rsidRPr="00371466">
        <w:rPr>
          <w:sz w:val="22"/>
          <w:szCs w:val="22"/>
          <w:lang w:val="uk-UA" w:eastAsia="en-US"/>
        </w:rPr>
        <w:t xml:space="preserve">Згідно з статтею 37 Закону України «Про акціонерні товариства», Ви маєте право ознайомитися з </w:t>
      </w:r>
      <w:r w:rsidRPr="00371466">
        <w:rPr>
          <w:color w:val="000000"/>
          <w:sz w:val="22"/>
          <w:szCs w:val="22"/>
          <w:lang w:val="ru-RU"/>
        </w:rPr>
        <w:t>ознайомитися з документами, необхідними для прийняття рішень з питань порядку денного</w:t>
      </w:r>
      <w:r w:rsidRPr="00371466">
        <w:rPr>
          <w:color w:val="000000"/>
          <w:sz w:val="22"/>
          <w:szCs w:val="22"/>
          <w:lang w:val="uk-UA"/>
        </w:rPr>
        <w:t>. Д</w:t>
      </w:r>
      <w:r w:rsidRPr="00371466">
        <w:rPr>
          <w:sz w:val="22"/>
          <w:szCs w:val="22"/>
          <w:lang w:val="uk-UA" w:eastAsia="en-US"/>
        </w:rPr>
        <w:t>ля ознайомлення з матеріалами (документами), необхідними для прийняття рішень з порядку денного загальних зборів акціонерів, звертатися до: Медвідь Іванни Миколаївни у робочі дні за місцезнаходженням Товариства: Україна, 87543, Донецька обл., м. Маріуполь, вул. Таганрозька, буд. 76, офіс 111. Довідки за телефоном: +38 050-315-72-71.</w:t>
      </w:r>
    </w:p>
    <w:p w:rsidR="005E0C4B" w:rsidRPr="00371466" w:rsidRDefault="005E0C4B" w:rsidP="00C64A37">
      <w:pPr>
        <w:jc w:val="both"/>
        <w:rPr>
          <w:sz w:val="22"/>
          <w:szCs w:val="22"/>
          <w:lang w:val="uk-UA" w:eastAsia="en-US"/>
        </w:rPr>
      </w:pPr>
    </w:p>
    <w:p w:rsidR="005E0C4B" w:rsidRPr="00371466" w:rsidRDefault="005E0C4B" w:rsidP="00C64A37">
      <w:pPr>
        <w:jc w:val="both"/>
        <w:rPr>
          <w:sz w:val="22"/>
          <w:szCs w:val="22"/>
          <w:lang w:val="uk-UA" w:eastAsia="uk-UA"/>
        </w:rPr>
      </w:pPr>
      <w:r w:rsidRPr="00371466">
        <w:rPr>
          <w:sz w:val="22"/>
          <w:szCs w:val="22"/>
          <w:lang w:val="uk-UA" w:eastAsia="uk-UA"/>
        </w:rPr>
        <w:t xml:space="preserve">З повагою, </w:t>
      </w:r>
    </w:p>
    <w:tbl>
      <w:tblPr>
        <w:tblW w:w="0" w:type="auto"/>
        <w:tblLook w:val="00A0"/>
      </w:tblPr>
      <w:tblGrid>
        <w:gridCol w:w="4928"/>
      </w:tblGrid>
      <w:tr w:rsidR="005E0C4B" w:rsidRPr="00371466" w:rsidTr="0015596F">
        <w:tc>
          <w:tcPr>
            <w:tcW w:w="4928" w:type="dxa"/>
          </w:tcPr>
          <w:p w:rsidR="005E0C4B" w:rsidRPr="00371466" w:rsidRDefault="005E0C4B" w:rsidP="0015596F">
            <w:pPr>
              <w:jc w:val="both"/>
              <w:rPr>
                <w:sz w:val="22"/>
                <w:szCs w:val="22"/>
                <w:lang w:val="uk-UA" w:eastAsia="en-US"/>
              </w:rPr>
            </w:pPr>
          </w:p>
          <w:p w:rsidR="005E0C4B" w:rsidRPr="00371466" w:rsidRDefault="005E0C4B" w:rsidP="0015596F">
            <w:pPr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5E0C4B" w:rsidRPr="00371466" w:rsidTr="0015596F">
        <w:tc>
          <w:tcPr>
            <w:tcW w:w="4928" w:type="dxa"/>
          </w:tcPr>
          <w:p w:rsidR="005E0C4B" w:rsidRPr="00371466" w:rsidRDefault="005E0C4B" w:rsidP="0015596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371466">
              <w:rPr>
                <w:sz w:val="22"/>
                <w:szCs w:val="22"/>
                <w:lang w:val="uk-UA" w:eastAsia="en-US"/>
              </w:rPr>
              <w:t>Корнійко Д.М.</w:t>
            </w:r>
          </w:p>
          <w:p w:rsidR="005E0C4B" w:rsidRPr="00371466" w:rsidRDefault="005E0C4B" w:rsidP="0015596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371466">
              <w:rPr>
                <w:sz w:val="22"/>
                <w:szCs w:val="22"/>
                <w:lang w:val="uk-UA" w:eastAsia="en-US"/>
              </w:rPr>
              <w:t xml:space="preserve">Голова Правління </w:t>
            </w:r>
          </w:p>
        </w:tc>
      </w:tr>
    </w:tbl>
    <w:p w:rsidR="005E0C4B" w:rsidRPr="00371466" w:rsidRDefault="005E0C4B" w:rsidP="00C64A37">
      <w:pPr>
        <w:jc w:val="both"/>
        <w:rPr>
          <w:sz w:val="22"/>
          <w:szCs w:val="22"/>
          <w:lang w:val="uk-UA" w:eastAsia="uk-UA"/>
        </w:rPr>
      </w:pPr>
      <w:r w:rsidRPr="00371466">
        <w:rPr>
          <w:sz w:val="22"/>
          <w:szCs w:val="22"/>
          <w:lang w:val="uk-UA" w:eastAsia="uk-UA"/>
        </w:rPr>
        <w:t>ПРИВАТНЕ АКЦІОНЕРНЕ ТОВАРИСТВО</w:t>
      </w:r>
    </w:p>
    <w:p w:rsidR="005E0C4B" w:rsidRPr="00371466" w:rsidRDefault="005E0C4B" w:rsidP="00C64A37">
      <w:pPr>
        <w:jc w:val="both"/>
        <w:rPr>
          <w:sz w:val="22"/>
          <w:szCs w:val="22"/>
          <w:lang w:val="uk-UA" w:eastAsia="uk-UA"/>
        </w:rPr>
      </w:pPr>
      <w:r w:rsidRPr="00371466">
        <w:rPr>
          <w:sz w:val="22"/>
          <w:szCs w:val="22"/>
          <w:lang w:val="uk-UA" w:eastAsia="uk-UA"/>
        </w:rPr>
        <w:t>«КАРАКУБСЬКЕ ХЛІБОПРИЙМАЛЬНЕ ПІДПРИЄМСТВО»</w:t>
      </w:r>
    </w:p>
    <w:p w:rsidR="005E0C4B" w:rsidRDefault="005E0C4B">
      <w:bookmarkStart w:id="1" w:name="_GoBack"/>
      <w:bookmarkEnd w:id="1"/>
    </w:p>
    <w:sectPr w:rsidR="005E0C4B" w:rsidSect="00996B7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4B" w:rsidRDefault="005E0C4B" w:rsidP="00C64A37">
      <w:r>
        <w:separator/>
      </w:r>
    </w:p>
  </w:endnote>
  <w:endnote w:type="continuationSeparator" w:id="0">
    <w:p w:rsidR="005E0C4B" w:rsidRDefault="005E0C4B" w:rsidP="00C6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4B" w:rsidRDefault="005E0C4B" w:rsidP="00C64A37">
      <w:r>
        <w:separator/>
      </w:r>
    </w:p>
  </w:footnote>
  <w:footnote w:type="continuationSeparator" w:id="0">
    <w:p w:rsidR="005E0C4B" w:rsidRDefault="005E0C4B" w:rsidP="00C6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37"/>
    <w:rsid w:val="0015596F"/>
    <w:rsid w:val="00242DAF"/>
    <w:rsid w:val="00371466"/>
    <w:rsid w:val="005E0C4B"/>
    <w:rsid w:val="00895623"/>
    <w:rsid w:val="00996B76"/>
    <w:rsid w:val="00C64A37"/>
    <w:rsid w:val="00E74BB7"/>
    <w:rsid w:val="00F7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37"/>
    <w:rPr>
      <w:rFonts w:ascii="Times New Roman" w:eastAsia="Times New Roman" w:hAnsi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2543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Акціонер</dc:title>
  <dc:subject/>
  <dc:creator>Oleksandr Goral</dc:creator>
  <cp:keywords/>
  <dc:description/>
  <cp:lastModifiedBy>Анна Артикульная</cp:lastModifiedBy>
  <cp:revision>2</cp:revision>
  <dcterms:created xsi:type="dcterms:W3CDTF">2020-03-11T09:45:00Z</dcterms:created>
  <dcterms:modified xsi:type="dcterms:W3CDTF">2020-03-11T09:45:00Z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973e85-9994-44d2-9354-6bc6be13ea5d_Enabled">
    <vt:lpwstr>True</vt:lpwstr>
  </property>
  <property fmtid="{D5CDD505-2E9C-101B-9397-08002B2CF9AE}" pid="3" name="MSIP_Label_1c973e85-9994-44d2-9354-6bc6be13ea5d_SiteId">
    <vt:lpwstr>01c999f0-c6f3-47dc-92cf-4f2d06feda2c</vt:lpwstr>
  </property>
  <property fmtid="{D5CDD505-2E9C-101B-9397-08002B2CF9AE}" pid="4" name="MSIP_Label_1c973e85-9994-44d2-9354-6bc6be13ea5d_Owner">
    <vt:lpwstr>OGoral@cofcointernational.com</vt:lpwstr>
  </property>
  <property fmtid="{D5CDD505-2E9C-101B-9397-08002B2CF9AE}" pid="5" name="MSIP_Label_1c973e85-9994-44d2-9354-6bc6be13ea5d_SetDate">
    <vt:lpwstr>2020-03-10T16:00:21.0221457Z</vt:lpwstr>
  </property>
  <property fmtid="{D5CDD505-2E9C-101B-9397-08002B2CF9AE}" pid="6" name="MSIP_Label_1c973e85-9994-44d2-9354-6bc6be13ea5d_Name">
    <vt:lpwstr>For Public Access</vt:lpwstr>
  </property>
  <property fmtid="{D5CDD505-2E9C-101B-9397-08002B2CF9AE}" pid="7" name="MSIP_Label_1c973e85-9994-44d2-9354-6bc6be13ea5d_Application">
    <vt:lpwstr>Microsoft Azure Information Protection</vt:lpwstr>
  </property>
  <property fmtid="{D5CDD505-2E9C-101B-9397-08002B2CF9AE}" pid="8" name="MSIP_Label_1c973e85-9994-44d2-9354-6bc6be13ea5d_ActionId">
    <vt:lpwstr>f84f542d-110f-4537-b2db-5b3bd5b493c9</vt:lpwstr>
  </property>
  <property fmtid="{D5CDD505-2E9C-101B-9397-08002B2CF9AE}" pid="9" name="MSIP_Label_1c973e85-9994-44d2-9354-6bc6be13ea5d_Extended_MSFT_Method">
    <vt:lpwstr>Automatic</vt:lpwstr>
  </property>
  <property fmtid="{D5CDD505-2E9C-101B-9397-08002B2CF9AE}" pid="10" name="Sensitivity">
    <vt:lpwstr>For Public Access</vt:lpwstr>
  </property>
  <property fmtid="{D5CDD505-2E9C-101B-9397-08002B2CF9AE}" pid="11" name="ContentTypeId">
    <vt:lpwstr>0x01010080E4B0D778BBE445B6D971348FBDB30E</vt:lpwstr>
  </property>
</Properties>
</file>